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A159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val="en-US" w:eastAsia="zh-CN"/>
        </w:rPr>
      </w:pPr>
      <w:proofErr w:type="spellStart"/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val="en-US" w:eastAsia="zh-CN"/>
        </w:rPr>
        <w:t>Руководство</w:t>
      </w:r>
      <w:proofErr w:type="spellEnd"/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val="en-US" w:eastAsia="zh-CN"/>
        </w:rPr>
        <w:t xml:space="preserve"> </w:t>
      </w:r>
      <w:proofErr w:type="spellStart"/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val="en-US" w:eastAsia="zh-CN"/>
        </w:rPr>
        <w:t>пользователя</w:t>
      </w:r>
      <w:proofErr w:type="spellEnd"/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val="en-US" w:eastAsia="zh-CN"/>
        </w:rPr>
        <w:t xml:space="preserve"> EMR06 </w:t>
      </w:r>
    </w:p>
    <w:p w14:paraId="3A129498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val="en-US" w:eastAsia="zh-CN"/>
        </w:rPr>
      </w:pPr>
    </w:p>
    <w:tbl>
      <w:tblPr>
        <w:tblStyle w:val="1"/>
        <w:tblW w:w="5985" w:type="dxa"/>
        <w:tblInd w:w="-5" w:type="dxa"/>
        <w:tblLook w:val="04A0" w:firstRow="1" w:lastRow="0" w:firstColumn="1" w:lastColumn="0" w:noHBand="0" w:noVBand="1"/>
      </w:tblPr>
      <w:tblGrid>
        <w:gridCol w:w="5985"/>
      </w:tblGrid>
      <w:tr w:rsidR="0063181B" w:rsidRPr="0063181B" w14:paraId="7DF45448" w14:textId="77777777" w:rsidTr="0006531B">
        <w:trPr>
          <w:trHeight w:val="445"/>
        </w:trPr>
        <w:tc>
          <w:tcPr>
            <w:tcW w:w="0" w:type="auto"/>
            <w:vAlign w:val="center"/>
          </w:tcPr>
          <w:p w14:paraId="75DB6D12" w14:textId="77777777" w:rsidR="0063181B" w:rsidRPr="0063181B" w:rsidRDefault="0063181B" w:rsidP="0063181B">
            <w:pPr>
              <w:widowControl w:val="0"/>
              <w:spacing w:line="0" w:lineRule="atLeast"/>
              <w:jc w:val="center"/>
              <w:rPr>
                <w:rFonts w:ascii="Calibri" w:eastAsia="DengXian" w:hAnsi="Calibri" w:cs="Calibri"/>
                <w:b/>
                <w:bCs/>
                <w:kern w:val="2"/>
                <w:sz w:val="26"/>
                <w:szCs w:val="26"/>
              </w:rPr>
            </w:pPr>
            <w:r w:rsidRPr="0063181B">
              <w:rPr>
                <w:rFonts w:ascii="Segoe UI Emoji" w:eastAsia="Segoe UI Emoji" w:hAnsi="Segoe UI Emoji" w:cs="Segoe UI Emoji"/>
                <w:b/>
                <w:bCs/>
                <w:kern w:val="2"/>
                <w:sz w:val="26"/>
                <w:szCs w:val="26"/>
              </w:rPr>
              <w:t>⚠</w:t>
            </w:r>
            <w:r w:rsidRPr="0063181B">
              <w:rPr>
                <w:rFonts w:ascii="Calibri" w:hAnsi="Calibri" w:cs="Calibri"/>
                <w:kern w:val="2"/>
                <w:sz w:val="26"/>
                <w:szCs w:val="26"/>
              </w:rPr>
              <w:t xml:space="preserve"> </w:t>
            </w:r>
            <w:r w:rsidRPr="0063181B">
              <w:rPr>
                <w:rFonts w:ascii="Calibri" w:eastAsia="DengXian" w:hAnsi="Calibri" w:cs="Calibri"/>
                <w:b/>
                <w:bCs/>
                <w:kern w:val="2"/>
                <w:sz w:val="26"/>
                <w:szCs w:val="26"/>
              </w:rPr>
              <w:t>ВНИМАНИЕ</w:t>
            </w:r>
          </w:p>
        </w:tc>
      </w:tr>
      <w:tr w:rsidR="0063181B" w:rsidRPr="0063181B" w14:paraId="62FE2730" w14:textId="77777777" w:rsidTr="0006531B">
        <w:trPr>
          <w:trHeight w:val="522"/>
        </w:trPr>
        <w:tc>
          <w:tcPr>
            <w:tcW w:w="0" w:type="auto"/>
          </w:tcPr>
          <w:p w14:paraId="21523B07" w14:textId="77777777" w:rsidR="0063181B" w:rsidRPr="0063181B" w:rsidRDefault="0063181B" w:rsidP="0063181B">
            <w:pPr>
              <w:widowControl w:val="0"/>
              <w:spacing w:line="0" w:lineRule="atLeast"/>
              <w:jc w:val="center"/>
              <w:rPr>
                <w:rFonts w:ascii="Calibri" w:eastAsia="DengXian" w:hAnsi="Calibri" w:cs="Calibri"/>
                <w:b/>
                <w:bCs/>
                <w:kern w:val="2"/>
                <w:sz w:val="26"/>
                <w:szCs w:val="26"/>
                <w:lang w:val="ru-RU"/>
              </w:rPr>
            </w:pPr>
            <w:r w:rsidRPr="0063181B">
              <w:rPr>
                <w:rFonts w:ascii="Calibri" w:eastAsia="DengXian" w:hAnsi="Calibri" w:cs="Calibri"/>
                <w:b/>
                <w:bCs/>
                <w:kern w:val="2"/>
                <w:sz w:val="26"/>
                <w:szCs w:val="26"/>
                <w:lang w:val="ru-RU"/>
              </w:rPr>
              <w:t>Перед эксплуатацией полностью ознакомьтесь с руководством пользователя.</w:t>
            </w:r>
          </w:p>
          <w:p w14:paraId="6AAF5288" w14:textId="77777777" w:rsidR="0063181B" w:rsidRPr="0063181B" w:rsidRDefault="0063181B" w:rsidP="0063181B">
            <w:pPr>
              <w:widowControl w:val="0"/>
              <w:spacing w:line="0" w:lineRule="atLeast"/>
              <w:jc w:val="center"/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>Устройство предназначено для эксплуатации исключительно взрослыми людьми. Продукт не является игрушкой.</w:t>
            </w:r>
          </w:p>
        </w:tc>
      </w:tr>
    </w:tbl>
    <w:p w14:paraId="4B3238F9" w14:textId="77777777" w:rsidR="0063181B" w:rsidRPr="0063181B" w:rsidRDefault="0063181B" w:rsidP="0063181B">
      <w:pPr>
        <w:widowControl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</w:p>
    <w:p w14:paraId="60C08ECF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Об устройстве</w:t>
      </w:r>
    </w:p>
    <w:p w14:paraId="563379AF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06 разработан специально для использования за пределами дома, например для работы на улице, походов, рыбалки, трекинга и т.д.</w:t>
      </w:r>
    </w:p>
    <w:p w14:paraId="0FD00A4A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val="en-US" w:eastAsia="zh-CN"/>
        </w:rPr>
      </w:pPr>
      <w:r w:rsidRPr="0063181B">
        <w:rPr>
          <w:rFonts w:ascii="Calibri" w:eastAsia="DengXian" w:hAnsi="Calibri" w:cs="Calibri"/>
          <w:noProof/>
          <w:kern w:val="2"/>
          <w:sz w:val="26"/>
          <w:szCs w:val="26"/>
          <w:lang w:val="en-US" w:eastAsia="zh-CN"/>
        </w:rPr>
        <w:drawing>
          <wp:inline distT="0" distB="0" distL="0" distR="0" wp14:anchorId="28835DC7" wp14:editId="52B1512B">
            <wp:extent cx="3476625" cy="208631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70" cy="210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81B">
        <w:rPr>
          <w:rFonts w:ascii="Calibri" w:eastAsia="DengXian" w:hAnsi="Calibri" w:cs="Calibri"/>
          <w:noProof/>
          <w:kern w:val="2"/>
          <w:sz w:val="26"/>
          <w:szCs w:val="26"/>
          <w:lang w:val="en-US" w:eastAsia="zh-CN"/>
        </w:rPr>
        <w:drawing>
          <wp:inline distT="0" distB="0" distL="0" distR="0" wp14:anchorId="7783C01A" wp14:editId="146D8B5A">
            <wp:extent cx="2571750" cy="200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85" cy="201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778F2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</w:p>
    <w:p w14:paraId="7457C15D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Характеристики</w:t>
      </w:r>
    </w:p>
    <w:tbl>
      <w:tblPr>
        <w:tblStyle w:val="1"/>
        <w:tblW w:w="5000" w:type="pct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8102"/>
      </w:tblGrid>
      <w:tr w:rsidR="0063181B" w:rsidRPr="0063181B" w14:paraId="7B2CFFAA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65A20ABD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Вход</w:t>
            </w:r>
            <w:proofErr w:type="spellEnd"/>
          </w:p>
        </w:tc>
        <w:tc>
          <w:tcPr>
            <w:tcW w:w="3860" w:type="pct"/>
            <w:vAlign w:val="center"/>
          </w:tcPr>
          <w:p w14:paraId="1482DB8A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bookmarkStart w:id="0" w:name="OLE_LINK3"/>
            <w:bookmarkStart w:id="1" w:name="OLE_LINK4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5В</w:t>
            </w:r>
            <w:r w:rsidRPr="0063181B">
              <w:rPr>
                <w:rFonts w:ascii="Cambria Math" w:eastAsia="DengXian" w:hAnsi="Cambria Math" w:cs="Cambria Math"/>
                <w:kern w:val="2"/>
                <w:sz w:val="26"/>
                <w:szCs w:val="26"/>
              </w:rPr>
              <w:t>⎓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1</w:t>
            </w:r>
            <w:bookmarkEnd w:id="0"/>
            <w:bookmarkEnd w:id="1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А (5 </w:t>
            </w: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Вт</w:t>
            </w:r>
            <w:proofErr w:type="spellEnd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 МАКС.)</w:t>
            </w:r>
          </w:p>
        </w:tc>
      </w:tr>
      <w:tr w:rsidR="0063181B" w:rsidRPr="0063181B" w14:paraId="1189A747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0859285A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Энергоемкость</w:t>
            </w:r>
            <w:proofErr w:type="spellEnd"/>
          </w:p>
        </w:tc>
        <w:tc>
          <w:tcPr>
            <w:tcW w:w="3860" w:type="pct"/>
            <w:vAlign w:val="center"/>
          </w:tcPr>
          <w:p w14:paraId="5F6DC774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1800 </w:t>
            </w: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мАч</w:t>
            </w:r>
            <w:proofErr w:type="spellEnd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 6.66 </w:t>
            </w: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Вт</w:t>
            </w:r>
            <w:r w:rsidRPr="0063181B">
              <w:rPr>
                <w:rFonts w:ascii="Cambria Math" w:eastAsia="DengXian" w:hAnsi="Cambria Math" w:cs="Cambria Math"/>
                <w:kern w:val="2"/>
                <w:sz w:val="26"/>
                <w:szCs w:val="26"/>
              </w:rPr>
              <w:t>⋅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ч</w:t>
            </w:r>
            <w:proofErr w:type="spellEnd"/>
          </w:p>
        </w:tc>
      </w:tr>
      <w:tr w:rsidR="0063181B" w:rsidRPr="0063181B" w14:paraId="31ACFDE5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68E3051D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Номинальная</w:t>
            </w:r>
            <w:proofErr w:type="spellEnd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 </w:t>
            </w: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энергоемкость</w:t>
            </w:r>
            <w:proofErr w:type="spellEnd"/>
          </w:p>
        </w:tc>
        <w:tc>
          <w:tcPr>
            <w:tcW w:w="3860" w:type="pct"/>
            <w:vAlign w:val="center"/>
          </w:tcPr>
          <w:p w14:paraId="68481DD2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1800 </w:t>
            </w: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мАч</w:t>
            </w:r>
            <w:proofErr w:type="spellEnd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, 5 В (ТИП 1А)</w:t>
            </w:r>
          </w:p>
        </w:tc>
      </w:tr>
      <w:tr w:rsidR="0063181B" w:rsidRPr="0063181B" w14:paraId="7C43A953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549516A7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Температура</w:t>
            </w:r>
            <w:proofErr w:type="spellEnd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 </w:t>
            </w: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нагрева</w:t>
            </w:r>
            <w:proofErr w:type="spellEnd"/>
          </w:p>
        </w:tc>
        <w:tc>
          <w:tcPr>
            <w:tcW w:w="3860" w:type="pct"/>
            <w:vAlign w:val="center"/>
          </w:tcPr>
          <w:p w14:paraId="7692E40C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130</w:t>
            </w:r>
            <w:r w:rsidRPr="0063181B">
              <w:rPr>
                <w:rFonts w:ascii="Cambria Math" w:eastAsia="DengXian" w:hAnsi="Cambria Math" w:cs="Cambria Math"/>
                <w:kern w:val="2"/>
                <w:sz w:val="26"/>
                <w:szCs w:val="26"/>
              </w:rPr>
              <w:t>℃</w:t>
            </w:r>
            <w:r w:rsidRPr="0063181B">
              <w:rPr>
                <w:rFonts w:ascii="Calibri" w:eastAsia="DengXian" w:hAnsi="Calibri" w:cs="Calibri"/>
                <w:sz w:val="26"/>
                <w:szCs w:val="26"/>
              </w:rPr>
              <w:t>±5</w:t>
            </w:r>
            <w:r w:rsidRPr="0063181B">
              <w:rPr>
                <w:rFonts w:ascii="Cambria Math" w:eastAsia="DengXian" w:hAnsi="Cambria Math" w:cs="Cambria Math"/>
                <w:sz w:val="26"/>
                <w:szCs w:val="26"/>
              </w:rPr>
              <w:t>℃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 / 266</w:t>
            </w:r>
            <w:r w:rsidRPr="0063181B">
              <w:rPr>
                <w:rFonts w:ascii="Cambria Math" w:eastAsia="DengXian" w:hAnsi="Cambria Math" w:cs="Cambria Math"/>
                <w:kern w:val="2"/>
                <w:sz w:val="26"/>
                <w:szCs w:val="26"/>
              </w:rPr>
              <w:t>℉</w:t>
            </w:r>
            <w:r w:rsidRPr="0063181B">
              <w:rPr>
                <w:rFonts w:ascii="Calibri" w:eastAsia="DengXian" w:hAnsi="Calibri" w:cs="Calibri"/>
                <w:sz w:val="26"/>
                <w:szCs w:val="26"/>
              </w:rPr>
              <w:t>±41</w:t>
            </w:r>
            <w:r w:rsidRPr="0063181B">
              <w:rPr>
                <w:rFonts w:ascii="Cambria Math" w:eastAsia="DengXian" w:hAnsi="Cambria Math" w:cs="Cambria Math"/>
                <w:kern w:val="2"/>
                <w:sz w:val="26"/>
                <w:szCs w:val="26"/>
              </w:rPr>
              <w:t>℉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 МАКС.</w:t>
            </w:r>
          </w:p>
        </w:tc>
      </w:tr>
      <w:tr w:rsidR="0063181B" w:rsidRPr="0063181B" w14:paraId="31836602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4AC3D6DA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Зона</w:t>
            </w:r>
            <w:proofErr w:type="spellEnd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 </w:t>
            </w: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защиты</w:t>
            </w:r>
            <w:proofErr w:type="spellEnd"/>
          </w:p>
        </w:tc>
        <w:tc>
          <w:tcPr>
            <w:tcW w:w="3860" w:type="pct"/>
            <w:vAlign w:val="center"/>
          </w:tcPr>
          <w:p w14:paraId="56165338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 xml:space="preserve">16 </w:t>
            </w: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футов</w:t>
            </w:r>
            <w:proofErr w:type="spellEnd"/>
          </w:p>
        </w:tc>
      </w:tr>
      <w:tr w:rsidR="0063181B" w:rsidRPr="0063181B" w14:paraId="32CF5FC0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18ED2C54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Размеры</w:t>
            </w:r>
            <w:proofErr w:type="spellEnd"/>
          </w:p>
        </w:tc>
        <w:tc>
          <w:tcPr>
            <w:tcW w:w="3860" w:type="pct"/>
            <w:vAlign w:val="center"/>
          </w:tcPr>
          <w:p w14:paraId="5DCA3E92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 xml:space="preserve">55 мм 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x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 xml:space="preserve"> 91.5 мм 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x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 xml:space="preserve"> 28.3 мм (2.17'' 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x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 xml:space="preserve"> 3.60'' 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x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 xml:space="preserve"> 1.11'') (без учета комплектующих)</w:t>
            </w:r>
          </w:p>
        </w:tc>
      </w:tr>
      <w:tr w:rsidR="0063181B" w:rsidRPr="0063181B" w14:paraId="132D5B8A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58991420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Вес</w:t>
            </w:r>
            <w:proofErr w:type="spellEnd"/>
          </w:p>
        </w:tc>
        <w:tc>
          <w:tcPr>
            <w:tcW w:w="3860" w:type="pct"/>
            <w:vAlign w:val="center"/>
          </w:tcPr>
          <w:p w14:paraId="03A6057E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>71 г ± 5 г (2.50 унции ± 0.1 унции) (без учета комплектующих)</w:t>
            </w:r>
          </w:p>
        </w:tc>
      </w:tr>
      <w:tr w:rsidR="0063181B" w:rsidRPr="0063181B" w14:paraId="1D116DDB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4E1D696A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Комплектующие</w:t>
            </w:r>
            <w:proofErr w:type="spellEnd"/>
          </w:p>
        </w:tc>
        <w:tc>
          <w:tcPr>
            <w:tcW w:w="3860" w:type="pct"/>
            <w:vAlign w:val="center"/>
          </w:tcPr>
          <w:p w14:paraId="5961EEC2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 xml:space="preserve">Зарядный кабель 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USB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>-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C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 xml:space="preserve">, 3 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x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 xml:space="preserve"> пластинки противомоскитного репеллента, кронштейн типа 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MOLLE</w:t>
            </w: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  <w:lang w:val="ru-RU"/>
              </w:rPr>
              <w:t>, ремешок</w:t>
            </w:r>
          </w:p>
        </w:tc>
      </w:tr>
      <w:tr w:rsidR="0063181B" w:rsidRPr="0063181B" w14:paraId="4CFEAE68" w14:textId="77777777" w:rsidTr="0006531B">
        <w:trPr>
          <w:trHeight w:val="340"/>
        </w:trPr>
        <w:tc>
          <w:tcPr>
            <w:tcW w:w="1140" w:type="pct"/>
            <w:vAlign w:val="center"/>
          </w:tcPr>
          <w:p w14:paraId="40B03B2F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proofErr w:type="spellStart"/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Водонепроницаемость</w:t>
            </w:r>
            <w:proofErr w:type="spellEnd"/>
          </w:p>
        </w:tc>
        <w:tc>
          <w:tcPr>
            <w:tcW w:w="3860" w:type="pct"/>
            <w:vAlign w:val="center"/>
          </w:tcPr>
          <w:p w14:paraId="43DB3EA2" w14:textId="77777777" w:rsidR="0063181B" w:rsidRPr="0063181B" w:rsidRDefault="0063181B" w:rsidP="0063181B">
            <w:pPr>
              <w:widowControl w:val="0"/>
              <w:topLinePunct/>
              <w:autoSpaceDE w:val="0"/>
              <w:autoSpaceDN w:val="0"/>
              <w:spacing w:line="0" w:lineRule="atLeast"/>
              <w:jc w:val="both"/>
              <w:rPr>
                <w:rFonts w:ascii="Calibri" w:eastAsia="DengXian" w:hAnsi="Calibri" w:cs="Calibri"/>
                <w:kern w:val="2"/>
                <w:sz w:val="26"/>
                <w:szCs w:val="26"/>
              </w:rPr>
            </w:pPr>
            <w:r w:rsidRPr="0063181B">
              <w:rPr>
                <w:rFonts w:ascii="Calibri" w:eastAsia="DengXian" w:hAnsi="Calibri" w:cs="Calibri"/>
                <w:kern w:val="2"/>
                <w:sz w:val="26"/>
                <w:szCs w:val="26"/>
              </w:rPr>
              <w:t>IPX5</w:t>
            </w:r>
          </w:p>
        </w:tc>
      </w:tr>
    </w:tbl>
    <w:p w14:paraId="6175B8A6" w14:textId="77777777" w:rsidR="0063181B" w:rsidRPr="0063181B" w:rsidRDefault="0063181B" w:rsidP="0063181B">
      <w:pPr>
        <w:widowControl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val="en-US" w:eastAsia="zh-CN"/>
        </w:rPr>
      </w:pPr>
    </w:p>
    <w:p w14:paraId="7C39B595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Зарядка</w:t>
      </w:r>
    </w:p>
    <w:p w14:paraId="4CF809F1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  <w:t>Подключение к источнику питания</w:t>
      </w:r>
    </w:p>
    <w:p w14:paraId="62A24348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Для зарядки используйте USB-кабель для подключения устройства к внешнему источнику питания (например, USB-адаптеру, блоку питания или другому зарядному устройству). (Вход: 5В</w:t>
      </w:r>
      <w:r w:rsidRPr="0063181B">
        <w:rPr>
          <w:rFonts w:ascii="Cambria Math" w:eastAsia="DengXian" w:hAnsi="Cambria Math" w:cs="Cambria Math"/>
          <w:bCs/>
          <w:kern w:val="2"/>
          <w:sz w:val="26"/>
          <w:szCs w:val="26"/>
          <w:lang w:eastAsia="zh-CN"/>
        </w:rPr>
        <w:t>⎓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1А).</w:t>
      </w:r>
    </w:p>
    <w:p w14:paraId="05FC0E1B" w14:textId="77777777" w:rsidR="0063181B" w:rsidRPr="0063181B" w:rsidRDefault="0063181B" w:rsidP="0063181B">
      <w:pPr>
        <w:widowControl w:val="0"/>
        <w:numPr>
          <w:ilvl w:val="0"/>
          <w:numId w:val="1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Если EMR06 в выключенном состоянии поставить на зарядку, индикатор питания начнет мигать зеленым, информируя таким образом пользователя.</w:t>
      </w:r>
    </w:p>
    <w:p w14:paraId="31B5D955" w14:textId="77777777" w:rsidR="0063181B" w:rsidRPr="0063181B" w:rsidRDefault="0063181B" w:rsidP="0063181B">
      <w:pPr>
        <w:widowControl w:val="0"/>
        <w:numPr>
          <w:ilvl w:val="0"/>
          <w:numId w:val="1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lastRenderedPageBreak/>
        <w:t>Когда EMR06 будет полностью заряжен, индикатор питания начнет беспрерывно гореть зеленым.</w:t>
      </w:r>
    </w:p>
    <w:p w14:paraId="285F5C36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  <w:t>Примечание.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 При использовании функции защиты от комаров во время зарядки устройства индикатор питания будет беспрерывно гореть синим, при этом он также будет мигать зеленым, сообщая таким образом о статусе зарядки.</w:t>
      </w:r>
    </w:p>
    <w:p w14:paraId="6D613E49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noProof/>
          <w:kern w:val="2"/>
          <w:sz w:val="26"/>
          <w:szCs w:val="26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987B05F" wp14:editId="7585FA96">
            <wp:simplePos x="0" y="0"/>
            <wp:positionH relativeFrom="column">
              <wp:posOffset>120650</wp:posOffset>
            </wp:positionH>
            <wp:positionV relativeFrom="paragraph">
              <wp:posOffset>239782</wp:posOffset>
            </wp:positionV>
            <wp:extent cx="2663825" cy="1818005"/>
            <wp:effectExtent l="0" t="0" r="3175" b="10795"/>
            <wp:wrapTopAndBottom/>
            <wp:docPr id="2" name="图片 2" descr="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充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F58FA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</w:pPr>
    </w:p>
    <w:p w14:paraId="6A253C5E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Функция защиты от комаров</w:t>
      </w:r>
    </w:p>
    <w:p w14:paraId="3189E247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•</w:t>
      </w: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ab/>
        <w:t xml:space="preserve">Включение: 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если устройство выключено, кратковременно зажмите и затем долго удерживайте кнопку питания, чтобы активировать функцию защиты от комаров, после чего индикатор питания загорится синим и начнет беспрерывно гореть.</w:t>
      </w:r>
    </w:p>
    <w:p w14:paraId="11BA8880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•</w:t>
      </w: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ab/>
        <w:t xml:space="preserve">Выключение: 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если устройство активировано, зажмите и удерживайте кнопку питания, чтобы отключить функцию защиты от комаров, после чего индикатор погаснет.</w:t>
      </w:r>
    </w:p>
    <w:p w14:paraId="3C134DA6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</w:p>
    <w:p w14:paraId="4B96A728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Определение уровня заряда</w:t>
      </w:r>
    </w:p>
    <w:p w14:paraId="6D9778CE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Дважды нажмите на кнопку питания, и индикатор питания замигает зеленым, сообщая таким образом текущий уровень напряжения аккумулятора (±0,1 В). Например, если напряжение аккумулятора составляет 3,7 В, индикатор питания мигнет зеленым 3 раза, после чего последует пауза в 1 секунду и еще 7 миганий.</w:t>
      </w:r>
    </w:p>
    <w:p w14:paraId="6702576B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  <w:t>Примечание.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 Когда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06 находится во включенном состоянии, при низком заряде аккумулятора индикатор начинает быстро мигать.</w:t>
      </w:r>
    </w:p>
    <w:p w14:paraId="5FE082F4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noProof/>
          <w:kern w:val="2"/>
          <w:sz w:val="26"/>
          <w:szCs w:val="26"/>
          <w:lang w:eastAsia="zh-CN"/>
        </w:rPr>
        <w:drawing>
          <wp:anchor distT="0" distB="0" distL="114300" distR="114300" simplePos="0" relativeHeight="251660288" behindDoc="1" locked="0" layoutInCell="1" allowOverlap="1" wp14:anchorId="2FEB30AC" wp14:editId="6CB70AC7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8294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70" y="21455"/>
                <wp:lineTo x="2157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0CB7BD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  <w:t xml:space="preserve">Эксплуатация </w:t>
      </w:r>
      <w:r w:rsidRPr="0063181B">
        <w:rPr>
          <w:rFonts w:ascii="Calibri" w:eastAsia="DengXian" w:hAnsi="Calibri" w:cs="Calibri"/>
          <w:b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  <w:t>06</w:t>
      </w:r>
    </w:p>
    <w:p w14:paraId="59F1931E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1. Когда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06 находится в выключенном состоянии, вставьте 1 противомоскитную пластинку в зону ее размещения.</w:t>
      </w:r>
    </w:p>
    <w:p w14:paraId="23A5CE5A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2. Сначала кратковременно нажмите на кнопку питания, а затем зажмите ее и удерживайте, чтобы активировать функцию защиты от комаров.</w:t>
      </w:r>
    </w:p>
    <w:p w14:paraId="2AEA0E1D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3. Зона защиты будет создана в течение 10 минут.</w:t>
      </w:r>
    </w:p>
    <w:p w14:paraId="702C49F2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4. По завершении эксплуатации зажмите и удерживайте кнопку питания, чтобы отключить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lastRenderedPageBreak/>
        <w:t xml:space="preserve">функцию защиты от комаров. Пожалуйста, убирайте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06, лишь убедившись в том, что устройство окончательно остыло.</w:t>
      </w:r>
    </w:p>
    <w:p w14:paraId="6E1DB9D4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  <w:t>Примечание.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 Размер пластинки противомоскитного репеллента от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NITECORE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: 34 мм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x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 48 мм / 1.34'' x 1.89'' (каждая обеспечивает до 6 часов защиты).</w:t>
      </w:r>
    </w:p>
    <w:p w14:paraId="056EF008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</w:p>
    <w:p w14:paraId="0BFB19AF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Замена пластинки противомоскитного репеллента</w:t>
      </w:r>
    </w:p>
    <w:p w14:paraId="3B14F995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 xml:space="preserve">Убедитесь в том, что </w:t>
      </w:r>
      <w:r w:rsidRPr="0063181B">
        <w:rPr>
          <w:rFonts w:ascii="Calibri" w:eastAsia="DengXian" w:hAnsi="Calibri" w:cs="Calibri"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06 находится в выключенном состоянии, а также успело охладиться. Вставляйте новую пластину, параллельно выталкивая таким образом использованную.</w:t>
      </w:r>
    </w:p>
    <w:p w14:paraId="2EB7AD02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</w:p>
    <w:p w14:paraId="5775046F" w14:textId="77777777" w:rsidR="0063181B" w:rsidRPr="0063181B" w:rsidRDefault="0063181B" w:rsidP="0063181B">
      <w:pPr>
        <w:widowControl w:val="0"/>
        <w:tabs>
          <w:tab w:val="left" w:pos="2193"/>
        </w:tabs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val="en-US" w:eastAsia="zh-CN"/>
        </w:rPr>
      </w:pPr>
      <w:r w:rsidRPr="0063181B">
        <w:rPr>
          <w:rFonts w:ascii="Calibri" w:eastAsia="DengXian" w:hAnsi="Calibri" w:cs="Calibri"/>
          <w:noProof/>
          <w:kern w:val="2"/>
          <w:sz w:val="26"/>
          <w:szCs w:val="26"/>
          <w:lang w:val="en-US" w:eastAsia="zh-CN"/>
        </w:rPr>
        <w:drawing>
          <wp:inline distT="0" distB="0" distL="0" distR="0" wp14:anchorId="45255B65" wp14:editId="45300922">
            <wp:extent cx="2952750" cy="2495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26" cy="251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806F1" w14:textId="77777777" w:rsidR="0063181B" w:rsidRPr="0063181B" w:rsidRDefault="0063181B" w:rsidP="0063181B">
      <w:pPr>
        <w:widowControl w:val="0"/>
        <w:tabs>
          <w:tab w:val="left" w:pos="2193"/>
        </w:tabs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val="en-US" w:eastAsia="zh-CN"/>
        </w:rPr>
      </w:pPr>
    </w:p>
    <w:p w14:paraId="636F259D" w14:textId="77777777" w:rsidR="0063181B" w:rsidRPr="0063181B" w:rsidRDefault="0063181B" w:rsidP="0063181B">
      <w:pPr>
        <w:widowControl w:val="0"/>
        <w:tabs>
          <w:tab w:val="left" w:pos="2193"/>
        </w:tabs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val="en-US" w:eastAsia="zh-CN"/>
        </w:rPr>
      </w:pPr>
    </w:p>
    <w:p w14:paraId="3A02DE9D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 xml:space="preserve">Расположение </w:t>
      </w: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06</w:t>
      </w:r>
    </w:p>
    <w:p w14:paraId="1B22FA10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 xml:space="preserve">· При наличии ветра поместите </w:t>
      </w:r>
      <w:r w:rsidRPr="0063181B">
        <w:rPr>
          <w:rFonts w:ascii="Calibri" w:eastAsia="DengXian" w:hAnsi="Calibri" w:cs="Calibri"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06 с наветренной стороны от зоны действия противомоскитного средства</w:t>
      </w:r>
    </w:p>
    <w:p w14:paraId="27E0072A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 xml:space="preserve">· НИЧЕМ НЕ накрывайте </w:t>
      </w:r>
      <w:r w:rsidRPr="0063181B">
        <w:rPr>
          <w:rFonts w:ascii="Calibri" w:eastAsia="DengXian" w:hAnsi="Calibri" w:cs="Calibri"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06 во время работы устройства.</w:t>
      </w:r>
    </w:p>
    <w:p w14:paraId="587F9772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 xml:space="preserve">· Рекомендуется использовать несколько </w:t>
      </w:r>
      <w:r w:rsidRPr="0063181B">
        <w:rPr>
          <w:rFonts w:ascii="Calibri" w:eastAsia="DengXian" w:hAnsi="Calibri" w:cs="Calibri"/>
          <w:kern w:val="2"/>
          <w:sz w:val="26"/>
          <w:szCs w:val="26"/>
          <w:lang w:val="en-US" w:eastAsia="zh-CN"/>
        </w:rPr>
        <w:t>EMR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06 вместе для создания большей зоны защиты.</w:t>
      </w:r>
    </w:p>
    <w:p w14:paraId="31E1CB4E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</w:p>
    <w:p w14:paraId="3E412F7A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bCs/>
          <w:kern w:val="2"/>
          <w:sz w:val="26"/>
          <w:szCs w:val="26"/>
          <w:lang w:eastAsia="zh-CN"/>
        </w:rPr>
        <w:t>Меры предосторожности</w:t>
      </w:r>
    </w:p>
    <w:p w14:paraId="65C72160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Устройство предназначено для использования взрослыми. Обеспечьте хранение устройства и его комплектующих в недоступном для детей месте.</w:t>
      </w:r>
    </w:p>
    <w:p w14:paraId="235859B6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Дети в возрасте до 16 лет должны находиться под присмотром взрослых при использовании этого устройства во избежание ожогов и других несчастных случаев.</w:t>
      </w:r>
    </w:p>
    <w:p w14:paraId="0F765BEF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Не оставляйте устройство в работающем состоянии без присмотра. Прекратите использовать устройство при обнаружении каких-либо признаков его неисправности.</w:t>
      </w:r>
    </w:p>
    <w:p w14:paraId="4AB197DF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НЕ прикасайтесь к области нагрева, если активирована функция защиты от комаров.</w:t>
      </w:r>
    </w:p>
    <w:p w14:paraId="1A1C1AC2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Когда продукт не находится в эксплуатации, пожалуйста, храните его в сухом месте при обычной комнатной температуре.</w:t>
      </w:r>
    </w:p>
    <w:p w14:paraId="433B48A9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Пожалуйста, не забывайте заряжать устройство каждые 3 месяца, если оно не используется в течение длительного времени.</w:t>
      </w:r>
    </w:p>
    <w:p w14:paraId="545F6079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НЕЛЬЗЯ помещать устройство в воду.</w:t>
      </w:r>
    </w:p>
    <w:p w14:paraId="6A04DD11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НЕ помещайте пальцы, какие-либо металлические и прочие предметы в устройство во избежание несчастных случаев и повреждений.</w:t>
      </w:r>
    </w:p>
    <w:p w14:paraId="57A1D095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НЕ используйте устройство в замкнутом пространстве.</w:t>
      </w:r>
    </w:p>
    <w:p w14:paraId="75CBC42F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lastRenderedPageBreak/>
        <w:t>Прекратите использование устройства и немедленно утилизируйте его в случае, если в аккумуляторе обнаружены течь или запах, а также при его деформации.</w:t>
      </w:r>
    </w:p>
    <w:p w14:paraId="25323A09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НЕ подвергайте устройство воздействию температуры выше 60°</w:t>
      </w:r>
      <w:r w:rsidRPr="0063181B">
        <w:rPr>
          <w:rFonts w:ascii="Calibri" w:eastAsia="DengXian" w:hAnsi="Calibri" w:cs="Calibri"/>
          <w:kern w:val="2"/>
          <w:sz w:val="26"/>
          <w:szCs w:val="26"/>
          <w:lang w:val="en-US" w:eastAsia="zh-CN"/>
        </w:rPr>
        <w:t>C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 xml:space="preserve"> (140</w:t>
      </w:r>
      <w:r w:rsidRPr="0063181B">
        <w:rPr>
          <w:rFonts w:ascii="Cambria Math" w:eastAsia="DengXian" w:hAnsi="Cambria Math" w:cs="Cambria Math"/>
          <w:kern w:val="2"/>
          <w:sz w:val="26"/>
          <w:szCs w:val="26"/>
          <w:lang w:eastAsia="zh-CN"/>
        </w:rPr>
        <w:t>℉</w:t>
      </w: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) в течение длительного времени.</w:t>
      </w:r>
    </w:p>
    <w:p w14:paraId="12E92198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НЕ разбирайте устройство и НЕ меняйте ничего в его конструкции, так как это приведет к аннулированию гарантии. Пожалуйста, обратите внимание на раздел гарантийного обслуживания для получения более подробной информации.</w:t>
      </w:r>
    </w:p>
    <w:p w14:paraId="14BA9226" w14:textId="77777777" w:rsidR="0063181B" w:rsidRPr="0063181B" w:rsidRDefault="0063181B" w:rsidP="0063181B">
      <w:pPr>
        <w:widowControl w:val="0"/>
        <w:numPr>
          <w:ilvl w:val="0"/>
          <w:numId w:val="2"/>
        </w:numPr>
        <w:topLinePunct/>
        <w:autoSpaceDE w:val="0"/>
        <w:autoSpaceDN w:val="0"/>
        <w:spacing w:after="0" w:line="0" w:lineRule="atLeast"/>
        <w:jc w:val="both"/>
        <w:rPr>
          <w:rFonts w:ascii="Calibri" w:eastAsia="DengXian" w:hAnsi="Calibri" w:cs="Calibri"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kern w:val="2"/>
          <w:sz w:val="26"/>
          <w:szCs w:val="26"/>
          <w:lang w:eastAsia="zh-CN"/>
        </w:rPr>
        <w:t>Утилизируйте устройство / аккумуляторы в соответствии с действующим местным законодательством и установленными правилами.</w:t>
      </w:r>
    </w:p>
    <w:p w14:paraId="54856BAF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</w:pPr>
    </w:p>
    <w:p w14:paraId="1D80F50A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/>
          <w:kern w:val="2"/>
          <w:sz w:val="26"/>
          <w:szCs w:val="26"/>
          <w:lang w:eastAsia="zh-CN"/>
        </w:rPr>
        <w:t>Гарантийное обслуживание</w:t>
      </w:r>
    </w:p>
    <w:p w14:paraId="774539A6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Вся продукция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NITECORE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® обладает гарантией. При наличии у продукта каких-либо дефектов или брака его можно обменять у местного дистрибьютора в течение 15 дней со дня покупки. После этого неисправную продукцию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NITECORE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® можно бесплатно починить в течение 12 месяцев со дня покупки. По прошествии 12 месяцев плата за комплектующие, запасные части и доставку ложится на вас.</w:t>
      </w:r>
    </w:p>
    <w:p w14:paraId="35C19E46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Гарантия аннулируется, в случае если:</w:t>
      </w:r>
    </w:p>
    <w:p w14:paraId="5FE1BEC4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1</w:t>
      </w:r>
      <w:r w:rsidRPr="0063181B">
        <w:rPr>
          <w:rFonts w:ascii="Calibri" w:eastAsia="SimSun" w:hAnsi="Calibri" w:cs="Times New Roman"/>
          <w:kern w:val="2"/>
          <w:sz w:val="26"/>
          <w:szCs w:val="26"/>
          <w:lang w:eastAsia="zh-CN"/>
        </w:rPr>
        <w:t>.</w:t>
      </w:r>
      <w:r w:rsidRPr="0063181B">
        <w:rPr>
          <w:rFonts w:ascii="Calibri" w:eastAsia="SimSun" w:hAnsi="Calibri" w:cs="Times New Roman"/>
          <w:kern w:val="2"/>
          <w:sz w:val="21"/>
          <w:lang w:eastAsia="zh-CN"/>
        </w:rPr>
        <w:t xml:space="preserve">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продукция была сломана и / или в ее конструкцию были внесены изменения неофициальной (т.е. неуполномоченной) стороной</w:t>
      </w:r>
    </w:p>
    <w:p w14:paraId="72604F26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2. продукция была повреждена вследствие неправильного пользования</w:t>
      </w:r>
    </w:p>
    <w:p w14:paraId="73C95EDC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За последней информацией о продукции и услугах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NITECORE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®, пожалуйста, обращайтесь к местному дистрибьютору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NITECORE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® или пишите на почту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service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@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nitecore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.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com</w:t>
      </w:r>
    </w:p>
    <w:p w14:paraId="0F491A15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MS Gothic" w:eastAsia="MS Gothic" w:hAnsi="MS Gothic" w:cs="MS Gothic" w:hint="eastAsia"/>
          <w:bCs/>
          <w:kern w:val="2"/>
          <w:sz w:val="26"/>
          <w:szCs w:val="26"/>
          <w:lang w:eastAsia="zh-CN"/>
        </w:rPr>
        <w:t>※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 Товарные знаки и изображения продукции, приведенные в рамках данного руководства пользователя, предназначены только для справочных целей. Авторские права принадлежат их законным владельцам.</w:t>
      </w:r>
    </w:p>
    <w:p w14:paraId="027A4A5C" w14:textId="77777777" w:rsidR="0063181B" w:rsidRPr="0063181B" w:rsidRDefault="0063181B" w:rsidP="0063181B">
      <w:pPr>
        <w:widowControl w:val="0"/>
        <w:topLinePunct/>
        <w:autoSpaceDE w:val="0"/>
        <w:autoSpaceDN w:val="0"/>
        <w:spacing w:after="0" w:line="0" w:lineRule="atLeast"/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</w:pPr>
      <w:r w:rsidRPr="0063181B">
        <w:rPr>
          <w:rFonts w:ascii="MS Gothic" w:eastAsia="MS Gothic" w:hAnsi="MS Gothic" w:cs="MS Gothic" w:hint="eastAsia"/>
          <w:bCs/>
          <w:kern w:val="2"/>
          <w:sz w:val="26"/>
          <w:szCs w:val="26"/>
          <w:lang w:eastAsia="zh-CN"/>
        </w:rPr>
        <w:t>※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 Все изображения, тексты и утверждения, приведенные в рамках данного руководства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www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.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nitecore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.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com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,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Sysmax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Innovations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Co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 xml:space="preserve">., 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val="en-US" w:eastAsia="zh-CN"/>
        </w:rPr>
        <w:t>Ltd</w:t>
      </w:r>
      <w:r w:rsidRPr="0063181B">
        <w:rPr>
          <w:rFonts w:ascii="Calibri" w:eastAsia="DengXian" w:hAnsi="Calibri" w:cs="Calibri"/>
          <w:bCs/>
          <w:kern w:val="2"/>
          <w:sz w:val="26"/>
          <w:szCs w:val="26"/>
          <w:lang w:eastAsia="zh-CN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 w14:paraId="1A4877D7" w14:textId="77777777" w:rsidR="002913B1" w:rsidRDefault="002913B1"/>
    <w:sectPr w:rsidR="002913B1" w:rsidSect="00CA535E">
      <w:pgSz w:w="12474" w:h="16840" w:code="9"/>
      <w:pgMar w:top="1134" w:right="851" w:bottom="1134" w:left="851" w:header="709" w:footer="70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077EA"/>
    <w:multiLevelType w:val="hybridMultilevel"/>
    <w:tmpl w:val="07988B26"/>
    <w:lvl w:ilvl="0" w:tplc="3A22B242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125A"/>
    <w:multiLevelType w:val="hybridMultilevel"/>
    <w:tmpl w:val="637E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B1"/>
    <w:rsid w:val="002913B1"/>
    <w:rsid w:val="006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3348-5661-40DC-AFAC-E02D60A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qFormat/>
    <w:rsid w:val="0063181B"/>
    <w:pPr>
      <w:spacing w:after="0" w:line="240" w:lineRule="auto"/>
    </w:pPr>
    <w:rPr>
      <w:rFonts w:eastAsia="SimSu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 Гейвандов</dc:creator>
  <cp:keywords/>
  <dc:description/>
  <cp:lastModifiedBy>Эрнест Гейвандов</cp:lastModifiedBy>
  <cp:revision>2</cp:revision>
  <dcterms:created xsi:type="dcterms:W3CDTF">2023-04-13T01:46:00Z</dcterms:created>
  <dcterms:modified xsi:type="dcterms:W3CDTF">2023-04-13T01:48:00Z</dcterms:modified>
</cp:coreProperties>
</file>